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insoku/>
        <w:autoSpaceDE/>
        <w:autoSpaceDN w:val="0"/>
        <w:spacing w:line="420" w:lineRule="atLeast"/>
        <w:ind w:firstLine="0"/>
        <w:jc w:val="center"/>
        <w:rPr>
          <w:rFonts w:hint="eastAsia" w:ascii="宋体" w:hAnsi="宋体" w:eastAsia="宋体"/>
          <w:b/>
          <w:i w:val="0"/>
          <w:snapToGrid/>
          <w:color w:val="000000"/>
          <w:sz w:val="44"/>
          <w:lang w:val="en-US" w:eastAsia="zh-CN"/>
        </w:rPr>
      </w:pPr>
      <w:r>
        <w:rPr>
          <w:rFonts w:hint="eastAsia" w:ascii="宋体" w:hAnsi="宋体" w:eastAsia="宋体"/>
          <w:b/>
          <w:i w:val="0"/>
          <w:snapToGrid/>
          <w:color w:val="000000"/>
          <w:sz w:val="44"/>
          <w:lang w:val="en-US" w:eastAsia="zh-CN"/>
        </w:rPr>
        <w:t>连州市华泽实验学校义务教育阶段</w:t>
      </w:r>
    </w:p>
    <w:p>
      <w:pPr>
        <w:kinsoku/>
        <w:autoSpaceDE/>
        <w:autoSpaceDN w:val="0"/>
        <w:spacing w:line="420" w:lineRule="atLeast"/>
        <w:ind w:firstLine="0"/>
        <w:jc w:val="center"/>
        <w:rPr>
          <w:rFonts w:hint="eastAsia" w:ascii="宋体" w:hAnsi="宋体" w:eastAsia="宋体"/>
          <w:b/>
          <w:i w:val="0"/>
          <w:snapToGrid/>
          <w:color w:val="000000"/>
          <w:sz w:val="44"/>
          <w:lang w:eastAsia="zh-CN"/>
        </w:rPr>
      </w:pPr>
      <w:r>
        <w:rPr>
          <w:rFonts w:hint="eastAsia" w:ascii="宋体" w:hAnsi="宋体" w:eastAsia="宋体"/>
          <w:b/>
          <w:i w:val="0"/>
          <w:snapToGrid/>
          <w:color w:val="000000"/>
          <w:sz w:val="44"/>
          <w:lang w:val="en-US" w:eastAsia="zh-CN"/>
        </w:rPr>
        <w:t>收费标准方案</w:t>
      </w:r>
      <w:r>
        <w:rPr>
          <w:rFonts w:hint="eastAsia" w:ascii="宋体" w:hAnsi="宋体"/>
          <w:b/>
          <w:i w:val="0"/>
          <w:snapToGrid/>
          <w:color w:val="000000"/>
          <w:sz w:val="44"/>
          <w:lang w:val="en-US" w:eastAsia="zh-CN"/>
        </w:rPr>
        <w:t>政策解读</w:t>
      </w:r>
    </w:p>
    <w:p>
      <w:pPr>
        <w:kinsoku/>
        <w:autoSpaceDE/>
        <w:autoSpaceDN w:val="0"/>
        <w:spacing w:line="420" w:lineRule="atLeast"/>
        <w:ind w:firstLine="0"/>
        <w:jc w:val="left"/>
        <w:rPr>
          <w:rFonts w:hint="default" w:ascii="微软雅黑" w:hAnsi="微软雅黑" w:eastAsia="微软雅黑"/>
          <w:b/>
          <w:i w:val="0"/>
          <w:snapToGrid/>
          <w:color w:val="646464"/>
          <w:sz w:val="22"/>
          <w:lang w:eastAsia="zh-CN"/>
        </w:rPr>
      </w:pPr>
    </w:p>
    <w:p>
      <w:pPr>
        <w:numPr>
          <w:ilvl w:val="0"/>
          <w:numId w:val="0"/>
        </w:numPr>
        <w:ind w:right="0" w:rightChars="0" w:firstLine="440" w:firstLineChars="200"/>
        <w:jc w:val="both"/>
        <w:rPr>
          <w:rFonts w:hint="eastAsia" w:ascii="仿宋" w:hAnsi="仿宋" w:eastAsia="仿宋"/>
          <w:b w:val="0"/>
          <w:i w:val="0"/>
          <w:snapToGrid/>
          <w:color w:val="646464"/>
          <w:sz w:val="32"/>
          <w:lang w:eastAsia="zh-CN"/>
        </w:rPr>
      </w:pPr>
      <w:r>
        <w:rPr>
          <w:rFonts w:hint="eastAsia" w:ascii="微软雅黑" w:hAnsi="微软雅黑" w:eastAsia="微软雅黑"/>
          <w:b/>
          <w:i w:val="0"/>
          <w:snapToGrid/>
          <w:color w:val="646464"/>
          <w:sz w:val="22"/>
          <w:lang w:val="en-US" w:eastAsia="zh-CN"/>
        </w:rPr>
        <w:t xml:space="preserve">  </w:t>
      </w:r>
      <w:r>
        <w:rPr>
          <w:rFonts w:hint="eastAsia" w:ascii="微软雅黑" w:hAnsi="微软雅黑" w:eastAsia="微软雅黑"/>
          <w:b/>
          <w:i w:val="0"/>
          <w:snapToGrid/>
          <w:color w:val="646464"/>
          <w:sz w:val="32"/>
          <w:szCs w:val="32"/>
          <w:lang w:val="en-US" w:eastAsia="zh-CN"/>
        </w:rPr>
        <w:t xml:space="preserve"> </w:t>
      </w:r>
      <w:r>
        <w:rPr>
          <w:rFonts w:hint="eastAsia" w:ascii="黑体" w:hAnsi="黑体" w:eastAsia="黑体" w:cs="黑体"/>
          <w:sz w:val="32"/>
          <w:szCs w:val="32"/>
          <w:lang w:val="en-US" w:eastAsia="zh-CN"/>
        </w:rPr>
        <w:t>一、方案出台的背景</w:t>
      </w:r>
    </w:p>
    <w:p>
      <w:pPr>
        <w:ind w:firstLine="640" w:firstLineChars="200"/>
        <w:rPr>
          <w:rFonts w:hint="eastAsia" w:ascii="仿宋_GB2312" w:hAnsi="仿宋_GB2312" w:eastAsia="仿宋_GB2312" w:cs="仿宋_GB2312"/>
          <w:b w:val="0"/>
          <w:bCs/>
          <w:color w:val="auto"/>
          <w:sz w:val="32"/>
          <w:szCs w:val="32"/>
          <w:highlight w:val="none"/>
          <w:u w:val="none" w:color="auto"/>
          <w:lang w:val="en-US" w:eastAsia="zh-CN"/>
        </w:rPr>
      </w:pPr>
      <w:r>
        <w:rPr>
          <w:rFonts w:hint="eastAsia" w:ascii="仿宋_GB2312" w:hAnsi="仿宋_GB2312" w:eastAsia="仿宋_GB2312" w:cs="仿宋_GB2312"/>
          <w:b w:val="0"/>
          <w:bCs/>
          <w:color w:val="auto"/>
          <w:sz w:val="32"/>
          <w:szCs w:val="32"/>
          <w:highlight w:val="none"/>
          <w:u w:val="none" w:color="auto"/>
          <w:lang w:val="en-US" w:eastAsia="zh-CN"/>
        </w:rPr>
        <w:t>规范民办义务教育发展、落实政府责任、强化民办义务教育规范管理以及营造良好教育生态的需要。此举确保了民办教育的非营利性质，通过加强对收费标准的调控来防止过高收费，从而促进我市民办教育的健康发展。政策制定致力于规范民办义务教育收费行为，防止乱收费现象，旨在保障学校和受教育者的合法权益，确保教育资源合理配置和提升教育质量。同时，为民办学校提供了合理的收入来源，有利于实现教育的公平性和可及性。</w:t>
      </w:r>
    </w:p>
    <w:p>
      <w:pPr>
        <w:numPr>
          <w:ilvl w:val="0"/>
          <w:numId w:val="1"/>
        </w:numPr>
        <w:ind w:firstLine="640" w:firstLineChars="200"/>
        <w:rPr>
          <w:rFonts w:hint="eastAsia" w:ascii="黑体" w:hAnsi="黑体" w:eastAsia="黑体"/>
          <w:sz w:val="32"/>
          <w:lang w:val="en-US" w:eastAsia="zh-CN"/>
        </w:rPr>
      </w:pPr>
      <w:r>
        <w:rPr>
          <w:rFonts w:hint="eastAsia" w:ascii="黑体" w:hAnsi="黑体" w:eastAsia="黑体"/>
          <w:sz w:val="32"/>
          <w:lang w:val="en-US" w:eastAsia="zh-CN"/>
        </w:rPr>
        <w:t>实施目标与政策意义</w:t>
      </w:r>
    </w:p>
    <w:p>
      <w:pPr>
        <w:numPr>
          <w:ilvl w:val="0"/>
          <w:numId w:val="0"/>
        </w:numPr>
        <w:rPr>
          <w:rFonts w:hint="eastAsia" w:ascii="仿宋_GB2312" w:hAnsi="仿宋_GB2312" w:eastAsia="仿宋_GB2312" w:cs="仿宋_GB2312"/>
          <w:sz w:val="32"/>
          <w:lang w:val="en-US" w:eastAsia="zh-CN"/>
        </w:rPr>
      </w:pPr>
      <w:r>
        <w:rPr>
          <w:rFonts w:hint="eastAsia" w:ascii="黑体" w:hAnsi="黑体" w:eastAsia="黑体"/>
          <w:sz w:val="32"/>
          <w:lang w:val="en-US" w:eastAsia="zh-CN"/>
        </w:rPr>
        <w:t xml:space="preserve">   </w:t>
      </w:r>
      <w:r>
        <w:rPr>
          <w:rFonts w:hint="eastAsia" w:ascii="仿宋_GB2312" w:hAnsi="仿宋_GB2312" w:eastAsia="仿宋_GB2312" w:cs="仿宋_GB2312"/>
          <w:sz w:val="32"/>
          <w:lang w:val="en-US" w:eastAsia="zh-CN"/>
        </w:rPr>
        <w:t>通过明确和合理的收费标准来保护消费者权益，避免给学生及家长造成不合理的经济负担。同时，这有助于促进教育公平，确保不同收入水平的家庭子女都能接受到质量相当的教育，从而缩小教育差距。此外，鼓励民办学校提高教育教学质量，吸引更优秀的师资力量，提升整体的教育服务水平。明确的收费标准还将有助于规范市场秩序，防止恶性竞争，维护健康有序的教育市场环境。在满足国家相关法律法规和政策要求的同时，适应政府对教育行业的监管规定，并考虑到家庭的不同教育需求和经济能力，为不同需求的家庭提供多样化的教育选择。总体而言，该方案的实施将推动教育的均衡发展，提高教育服务质量，规范市场行为，并满足社会对教育多元化的需求，实现教育的公益性与可持续发展。</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firstLine="640" w:firstLineChars="200"/>
        <w:jc w:val="both"/>
        <w:textAlignment w:val="auto"/>
        <w:outlineLvl w:val="9"/>
        <w:rPr>
          <w:rFonts w:hint="eastAsia" w:ascii="黑体" w:hAnsi="黑体" w:eastAsia="黑体"/>
          <w:sz w:val="32"/>
          <w:lang w:val="en-US" w:eastAsia="zh-CN"/>
        </w:rPr>
      </w:pPr>
      <w:r>
        <w:rPr>
          <w:rFonts w:hint="eastAsia" w:ascii="黑体" w:hAnsi="黑体" w:eastAsia="黑体"/>
          <w:sz w:val="32"/>
          <w:lang w:val="en-US" w:eastAsia="zh-CN"/>
        </w:rPr>
        <w:t>三、主要内容解读</w:t>
      </w:r>
    </w:p>
    <w:p>
      <w:pPr>
        <w:numPr>
          <w:ilvl w:val="0"/>
          <w:numId w:val="0"/>
        </w:numPr>
        <w:rPr>
          <w:rFonts w:hint="eastAsia" w:ascii="仿宋_GB2312" w:hAnsi="仿宋_GB2312" w:eastAsia="仿宋_GB2312" w:cs="仿宋_GB2312"/>
          <w:color w:val="auto"/>
          <w:sz w:val="32"/>
          <w:lang w:val="en-US" w:eastAsia="zh-CN"/>
        </w:rPr>
      </w:pPr>
      <w:r>
        <w:rPr>
          <w:rFonts w:hint="eastAsia" w:ascii="仿宋_GB2312" w:hAnsi="仿宋_GB2312" w:eastAsia="仿宋_GB2312" w:cs="仿宋_GB2312"/>
          <w:sz w:val="32"/>
          <w:lang w:val="en-US" w:eastAsia="zh-CN"/>
        </w:rPr>
        <w:t xml:space="preserve">   </w:t>
      </w:r>
      <w:r>
        <w:rPr>
          <w:rFonts w:hint="eastAsia" w:ascii="仿宋_GB2312" w:hAnsi="仿宋_GB2312" w:eastAsia="仿宋_GB2312" w:cs="仿宋_GB2312"/>
          <w:b w:val="0"/>
          <w:bCs w:val="0"/>
          <w:color w:val="auto"/>
          <w:sz w:val="32"/>
          <w:lang w:val="en-US" w:eastAsia="zh-CN"/>
        </w:rPr>
        <w:t>（一）</w:t>
      </w:r>
      <w:r>
        <w:rPr>
          <w:rFonts w:hint="eastAsia" w:ascii="楷体_GB2312" w:hAnsi="楷体_GB2312" w:eastAsia="楷体_GB2312" w:cs="楷体_GB2312"/>
          <w:b w:val="0"/>
          <w:bCs w:val="0"/>
          <w:color w:val="auto"/>
          <w:sz w:val="32"/>
          <w:lang w:val="en-US" w:eastAsia="zh-CN"/>
        </w:rPr>
        <w:t>明确民办义务教育阶段价格的管理方式和收费项目、收费</w:t>
      </w:r>
      <w:r>
        <w:rPr>
          <w:rFonts w:hint="eastAsia" w:ascii="楷体_GB2312" w:hAnsi="楷体_GB2312" w:eastAsia="楷体_GB2312" w:cs="楷体_GB2312"/>
          <w:b w:val="0"/>
          <w:bCs w:val="0"/>
          <w:color w:val="auto"/>
          <w:sz w:val="32"/>
          <w:lang w:eastAsia="zh-CN"/>
        </w:rPr>
        <w:t>标准。</w:t>
      </w:r>
      <w:r>
        <w:rPr>
          <w:rFonts w:hint="eastAsia" w:ascii="仿宋_GB2312" w:hAnsi="仿宋_GB2312" w:eastAsia="仿宋_GB2312" w:cs="仿宋_GB2312"/>
          <w:sz w:val="32"/>
          <w:szCs w:val="32"/>
          <w:lang w:val="en-US" w:eastAsia="zh-CN"/>
        </w:rPr>
        <w:t>民办义务教育阶段学费、住宿费实行政府指导价管理。学费和住宿费</w:t>
      </w:r>
      <w:bookmarkStart w:id="0" w:name="_GoBack"/>
      <w:bookmarkEnd w:id="0"/>
      <w:r>
        <w:rPr>
          <w:rFonts w:hint="eastAsia" w:ascii="仿宋_GB2312" w:hAnsi="仿宋_GB2312" w:eastAsia="仿宋_GB2312" w:cs="仿宋_GB2312"/>
          <w:color w:val="auto"/>
          <w:sz w:val="32"/>
          <w:lang w:val="en-US" w:eastAsia="zh-CN"/>
        </w:rPr>
        <w:t>收费标准为最高限价，下浮不限。学校可根据成本差异在规定的最高限价内，确定具体收费标准，并报同级发展改革、教育、市场监管部门。</w:t>
      </w:r>
    </w:p>
    <w:p>
      <w:pPr>
        <w:numPr>
          <w:ilvl w:val="0"/>
          <w:numId w:val="0"/>
        </w:numPr>
        <w:ind w:firstLine="320" w:firstLineChars="100"/>
        <w:rPr>
          <w:rFonts w:hint="eastAsia" w:ascii="仿宋_GB2312" w:hAnsi="仿宋_GB2312" w:eastAsia="仿宋_GB2312"/>
          <w:b w:val="0"/>
          <w:bCs w:val="0"/>
          <w:sz w:val="32"/>
          <w:szCs w:val="32"/>
          <w:lang w:val="en-US" w:eastAsia="zh-CN"/>
        </w:rPr>
      </w:pPr>
      <w:r>
        <w:rPr>
          <w:rFonts w:hint="eastAsia" w:ascii="楷体_GB2312" w:hAnsi="楷体_GB2312" w:eastAsia="楷体_GB2312" w:cs="楷体_GB2312"/>
          <w:sz w:val="32"/>
          <w:lang w:val="en-US" w:eastAsia="zh-CN"/>
        </w:rPr>
        <w:t>（二）规范收费行为。1、</w:t>
      </w:r>
      <w:r>
        <w:rPr>
          <w:rFonts w:hint="eastAsia" w:ascii="仿宋_GB2312" w:hAnsi="仿宋_GB2312" w:eastAsia="仿宋_GB2312" w:cs="仿宋_GB2312"/>
          <w:color w:val="auto"/>
          <w:sz w:val="32"/>
          <w:lang w:val="en-US" w:eastAsia="zh-CN"/>
        </w:rPr>
        <w:t>目前国家对城乡义务教育实行免费政策，市财政部门对公办和民办学校实行统一的生均公用经费补助标准，明确民办义务教育阶段学校按规定向学生收取学费的，须扣除政府生均公用经费补助标准部分。2、明确民办义务教育阶段学校学费继续实行“新生新办法，老生老办法”。 一方面“新生新办法、老生老办法”是国家、省价格主管部门为维护受教育者权益一直以来实行的价格管理政策，另一方面为了体现学生公平性，保持入学期间学费的稳定性，因此，民办义务教育阶段学校学费继续实行“新生新办法，老生老办法”的原则管理；同一学校同一年级的学生不得实行不同的学费标准。学费可按学期或学年收取，不得跨学期或学年收取。3</w:t>
      </w:r>
      <w:r>
        <w:rPr>
          <w:rFonts w:hint="eastAsia" w:ascii="楷体_GB2312" w:hAnsi="楷体_GB2312" w:eastAsia="楷体_GB2312" w:cs="楷体_GB2312"/>
          <w:sz w:val="32"/>
          <w:lang w:val="en-US" w:eastAsia="zh-CN"/>
        </w:rPr>
        <w:t>、明确其他事项。</w:t>
      </w:r>
      <w:r>
        <w:rPr>
          <w:rFonts w:hint="eastAsia" w:ascii="仿宋_GB2312" w:hAnsi="仿宋_GB2312" w:eastAsia="仿宋_GB2312"/>
          <w:b w:val="0"/>
          <w:bCs w:val="0"/>
          <w:sz w:val="32"/>
          <w:szCs w:val="32"/>
          <w:lang w:val="en-US" w:eastAsia="zh-CN"/>
        </w:rPr>
        <w:t xml:space="preserve">服务性收费和代收费及其他事项，按照《广东省发展和改革委员会 广东省教育厅 广东省财政厅 广东省市场监督管理局关于印发广东省民办义务教育收费管理办法的通知》（粤发改规〔2023〕10号）规定执行。  </w:t>
      </w:r>
    </w:p>
    <w:p>
      <w:pPr>
        <w:numPr>
          <w:ilvl w:val="0"/>
          <w:numId w:val="0"/>
        </w:numPr>
        <w:rPr>
          <w:rFonts w:hint="default" w:ascii="仿宋_GB2312" w:hAnsi="仿宋_GB2312" w:eastAsia="仿宋_GB2312" w:cs="仿宋_GB2312"/>
          <w:sz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7B8B68"/>
    <w:multiLevelType w:val="singleLevel"/>
    <w:tmpl w:val="7D7B8B68"/>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C1901BB"/>
    <w:rsid w:val="0D4E2FDA"/>
    <w:rsid w:val="10F13C2E"/>
    <w:rsid w:val="14AD0D0F"/>
    <w:rsid w:val="1CB3495D"/>
    <w:rsid w:val="1DF2032F"/>
    <w:rsid w:val="26FC70D2"/>
    <w:rsid w:val="278832D5"/>
    <w:rsid w:val="2CC04B32"/>
    <w:rsid w:val="33111713"/>
    <w:rsid w:val="33430101"/>
    <w:rsid w:val="38560900"/>
    <w:rsid w:val="3C374F1A"/>
    <w:rsid w:val="3C572286"/>
    <w:rsid w:val="3E8321F3"/>
    <w:rsid w:val="49DD0CCA"/>
    <w:rsid w:val="4A901CE5"/>
    <w:rsid w:val="5A0306C4"/>
    <w:rsid w:val="67FD6163"/>
    <w:rsid w:val="6BF348EB"/>
    <w:rsid w:val="7070515E"/>
    <w:rsid w:val="7282738C"/>
    <w:rsid w:val="7D1237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lang w:val="en-US" w:eastAsia="zh-CN"/>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2024-07-03T01:12:00Z</dcterms:created>
  <dc:creator>Administrator</dc:creator>
  <cp:lastModifiedBy>Administrator</cp:lastModifiedBy>
  <dcterms:modified xsi:type="dcterms:W3CDTF">2024-07-04T07:42:37Z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