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0" w:line="576" w:lineRule="exact"/>
        <w:ind w:right="0" w:rightChars="0"/>
        <w:jc w:val="center"/>
        <w:textAlignment w:val="auto"/>
        <w:outlineLvl w:val="9"/>
        <w:rPr>
          <w:rFonts w:hint="default" w:ascii="Times New Roman" w:hAnsi="Times New Roman" w:eastAsia="方正小标宋简体" w:cs="Times New Roman"/>
          <w:color w:val="auto"/>
          <w:sz w:val="44"/>
          <w:szCs w:val="44"/>
          <w:lang w:eastAsia="zh-CN"/>
        </w:rPr>
      </w:pPr>
      <w:r>
        <w:rPr>
          <w:rFonts w:hint="eastAsia" w:ascii="Times New Roman" w:hAnsi="Times New Roman" w:eastAsia="方正小标宋简体" w:cs="Times New Roman"/>
          <w:color w:val="auto"/>
          <w:sz w:val="44"/>
          <w:szCs w:val="44"/>
          <w:lang w:eastAsia="zh-CN"/>
        </w:rPr>
        <w:t>连州市民政局</w:t>
      </w:r>
      <w:r>
        <w:rPr>
          <w:rFonts w:hint="default" w:ascii="Times New Roman" w:hAnsi="Times New Roman" w:eastAsia="方正小标宋简体" w:cs="Times New Roman"/>
          <w:color w:val="auto"/>
          <w:sz w:val="44"/>
          <w:szCs w:val="44"/>
          <w:lang w:eastAsia="zh-CN"/>
        </w:rPr>
        <w:t>实行告知承诺制证明事项清单</w:t>
      </w:r>
    </w:p>
    <w:tbl>
      <w:tblPr>
        <w:tblStyle w:val="5"/>
        <w:tblW w:w="14306" w:type="dxa"/>
        <w:jc w:val="center"/>
        <w:tblInd w:w="-29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3"/>
        <w:gridCol w:w="2367"/>
        <w:gridCol w:w="6960"/>
        <w:gridCol w:w="767"/>
        <w:gridCol w:w="950"/>
        <w:gridCol w:w="1056"/>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黑体" w:cs="Times New Roman"/>
                <w:color w:val="auto"/>
                <w:sz w:val="24"/>
                <w:szCs w:val="24"/>
                <w:vertAlign w:val="baseline"/>
                <w:lang w:eastAsia="zh-CN"/>
              </w:rPr>
            </w:pPr>
            <w:r>
              <w:rPr>
                <w:rFonts w:hint="default" w:ascii="Times New Roman" w:hAnsi="Times New Roman" w:eastAsia="黑体" w:cs="Times New Roman"/>
                <w:color w:val="auto"/>
                <w:sz w:val="24"/>
                <w:szCs w:val="24"/>
                <w:vertAlign w:val="baseline"/>
                <w:lang w:eastAsia="zh-CN"/>
              </w:rPr>
              <w:t>序号</w:t>
            </w:r>
          </w:p>
        </w:tc>
        <w:tc>
          <w:tcPr>
            <w:tcW w:w="236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黑体" w:cs="Times New Roman"/>
                <w:color w:val="auto"/>
                <w:sz w:val="24"/>
                <w:szCs w:val="24"/>
                <w:vertAlign w:val="baseline"/>
                <w:lang w:eastAsia="zh-CN"/>
              </w:rPr>
            </w:pPr>
            <w:r>
              <w:rPr>
                <w:rFonts w:hint="default" w:ascii="Times New Roman" w:hAnsi="Times New Roman" w:eastAsia="黑体" w:cs="Times New Roman"/>
                <w:color w:val="auto"/>
                <w:sz w:val="24"/>
                <w:szCs w:val="24"/>
                <w:vertAlign w:val="baseline"/>
                <w:lang w:eastAsia="zh-CN"/>
              </w:rPr>
              <w:t>证明事项</w:t>
            </w:r>
          </w:p>
        </w:tc>
        <w:tc>
          <w:tcPr>
            <w:tcW w:w="7727"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黑体" w:cs="Times New Roman"/>
                <w:color w:val="auto"/>
                <w:sz w:val="24"/>
                <w:szCs w:val="24"/>
                <w:vertAlign w:val="baseline"/>
                <w:lang w:eastAsia="zh-CN"/>
              </w:rPr>
            </w:pPr>
            <w:r>
              <w:rPr>
                <w:rFonts w:hint="default" w:ascii="Times New Roman" w:hAnsi="Times New Roman" w:eastAsia="黑体" w:cs="Times New Roman"/>
                <w:color w:val="auto"/>
                <w:sz w:val="24"/>
                <w:szCs w:val="24"/>
                <w:vertAlign w:val="baseline"/>
                <w:lang w:eastAsia="zh-CN"/>
              </w:rPr>
              <w:t>设定依据</w:t>
            </w:r>
          </w:p>
        </w:tc>
        <w:tc>
          <w:tcPr>
            <w:tcW w:w="9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黑体" w:cs="Times New Roman"/>
                <w:color w:val="auto"/>
                <w:sz w:val="24"/>
                <w:szCs w:val="24"/>
                <w:vertAlign w:val="baseline"/>
                <w:lang w:eastAsia="zh-CN"/>
              </w:rPr>
            </w:pPr>
            <w:r>
              <w:rPr>
                <w:rFonts w:hint="default" w:ascii="Times New Roman" w:hAnsi="Times New Roman" w:eastAsia="黑体" w:cs="Times New Roman"/>
                <w:color w:val="auto"/>
                <w:sz w:val="24"/>
                <w:szCs w:val="24"/>
                <w:vertAlign w:val="baseline"/>
                <w:lang w:eastAsia="zh-CN"/>
              </w:rPr>
              <w:t>办事</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黑体" w:cs="Times New Roman"/>
                <w:color w:val="auto"/>
                <w:sz w:val="24"/>
                <w:szCs w:val="24"/>
                <w:vertAlign w:val="baseline"/>
                <w:lang w:eastAsia="zh-CN"/>
              </w:rPr>
            </w:pPr>
            <w:r>
              <w:rPr>
                <w:rFonts w:hint="default" w:ascii="Times New Roman" w:hAnsi="Times New Roman" w:eastAsia="黑体" w:cs="Times New Roman"/>
                <w:color w:val="auto"/>
                <w:sz w:val="24"/>
                <w:szCs w:val="24"/>
                <w:vertAlign w:val="baseline"/>
                <w:lang w:eastAsia="zh-CN"/>
              </w:rPr>
              <w:t>单位</w:t>
            </w:r>
          </w:p>
        </w:tc>
        <w:tc>
          <w:tcPr>
            <w:tcW w:w="105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黑体" w:cs="Times New Roman"/>
                <w:color w:val="auto"/>
                <w:sz w:val="24"/>
                <w:szCs w:val="24"/>
                <w:vertAlign w:val="baseline"/>
                <w:lang w:eastAsia="zh-CN"/>
              </w:rPr>
            </w:pPr>
            <w:r>
              <w:rPr>
                <w:rFonts w:hint="default" w:ascii="Times New Roman" w:hAnsi="Times New Roman" w:eastAsia="黑体" w:cs="Times New Roman"/>
                <w:color w:val="auto"/>
                <w:sz w:val="24"/>
                <w:szCs w:val="24"/>
                <w:vertAlign w:val="baseline"/>
                <w:lang w:eastAsia="zh-CN"/>
              </w:rPr>
              <w:t>证明</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黑体" w:cs="Times New Roman"/>
                <w:color w:val="auto"/>
                <w:sz w:val="24"/>
                <w:szCs w:val="24"/>
                <w:vertAlign w:val="baseline"/>
                <w:lang w:eastAsia="zh-CN"/>
              </w:rPr>
            </w:pPr>
            <w:r>
              <w:rPr>
                <w:rFonts w:hint="default" w:ascii="Times New Roman" w:hAnsi="Times New Roman" w:eastAsia="黑体" w:cs="Times New Roman"/>
                <w:color w:val="auto"/>
                <w:sz w:val="24"/>
                <w:szCs w:val="24"/>
                <w:vertAlign w:val="baseline"/>
                <w:lang w:eastAsia="zh-CN"/>
              </w:rPr>
              <w:t>用途</w:t>
            </w:r>
          </w:p>
        </w:tc>
        <w:tc>
          <w:tcPr>
            <w:tcW w:w="128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黑体" w:cs="Times New Roman"/>
                <w:color w:val="auto"/>
                <w:sz w:val="24"/>
                <w:szCs w:val="24"/>
                <w:vertAlign w:val="baseline"/>
                <w:lang w:eastAsia="zh-CN"/>
              </w:rPr>
            </w:pPr>
            <w:r>
              <w:rPr>
                <w:rFonts w:hint="default" w:ascii="Times New Roman" w:hAnsi="Times New Roman" w:eastAsia="黑体" w:cs="Times New Roman"/>
                <w:color w:val="auto"/>
                <w:sz w:val="24"/>
                <w:szCs w:val="24"/>
                <w:vertAlign w:val="baseline"/>
                <w:lang w:eastAsia="zh-CN"/>
              </w:rPr>
              <w:t>实行</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黑体" w:cs="Times New Roman"/>
                <w:color w:val="auto"/>
                <w:sz w:val="24"/>
                <w:szCs w:val="24"/>
                <w:vertAlign w:val="baseline"/>
                <w:lang w:eastAsia="zh-CN"/>
              </w:rPr>
            </w:pPr>
            <w:r>
              <w:rPr>
                <w:rFonts w:hint="default" w:ascii="Times New Roman" w:hAnsi="Times New Roman" w:eastAsia="黑体" w:cs="Times New Roman"/>
                <w:color w:val="auto"/>
                <w:sz w:val="24"/>
                <w:szCs w:val="24"/>
                <w:vertAlign w:val="baseline"/>
                <w:lang w:eastAsia="zh-CN"/>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p>
        </w:tc>
        <w:tc>
          <w:tcPr>
            <w:tcW w:w="236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p>
        </w:tc>
        <w:tc>
          <w:tcPr>
            <w:tcW w:w="6960"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黑体" w:cs="Times New Roman"/>
                <w:color w:val="auto"/>
                <w:sz w:val="24"/>
                <w:szCs w:val="24"/>
                <w:vertAlign w:val="baseline"/>
                <w:lang w:eastAsia="zh-CN"/>
              </w:rPr>
            </w:pPr>
            <w:r>
              <w:rPr>
                <w:rFonts w:hint="default" w:ascii="Times New Roman" w:hAnsi="Times New Roman" w:eastAsia="黑体" w:cs="Times New Roman"/>
                <w:color w:val="auto"/>
                <w:sz w:val="24"/>
                <w:szCs w:val="24"/>
                <w:vertAlign w:val="baseline"/>
                <w:lang w:eastAsia="zh-CN"/>
              </w:rPr>
              <w:t>依据名称、文号及条文内容</w:t>
            </w:r>
          </w:p>
        </w:tc>
        <w:tc>
          <w:tcPr>
            <w:tcW w:w="76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黑体" w:cs="Times New Roman"/>
                <w:color w:val="auto"/>
                <w:sz w:val="24"/>
                <w:szCs w:val="24"/>
                <w:vertAlign w:val="baseline"/>
                <w:lang w:eastAsia="zh-CN"/>
              </w:rPr>
            </w:pPr>
            <w:r>
              <w:rPr>
                <w:rFonts w:hint="default" w:ascii="Times New Roman" w:hAnsi="Times New Roman" w:eastAsia="黑体" w:cs="Times New Roman"/>
                <w:color w:val="auto"/>
                <w:sz w:val="24"/>
                <w:szCs w:val="24"/>
                <w:vertAlign w:val="baseline"/>
                <w:lang w:eastAsia="zh-CN"/>
              </w:rPr>
              <w:t>效力层级</w:t>
            </w:r>
          </w:p>
        </w:tc>
        <w:tc>
          <w:tcPr>
            <w:tcW w:w="9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p>
        </w:tc>
        <w:tc>
          <w:tcPr>
            <w:tcW w:w="10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p>
        </w:tc>
        <w:tc>
          <w:tcPr>
            <w:tcW w:w="12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0" w:hRule="atLeast"/>
          <w:jc w:val="center"/>
        </w:trPr>
        <w:tc>
          <w:tcPr>
            <w:tcW w:w="923"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val="en-US" w:eastAsia="zh-CN"/>
              </w:rPr>
            </w:pPr>
            <w:r>
              <w:rPr>
                <w:rFonts w:hint="default" w:ascii="Times New Roman" w:hAnsi="Times New Roman" w:eastAsia="仿宋_GB2312" w:cs="Times New Roman"/>
                <w:color w:val="auto"/>
                <w:sz w:val="24"/>
                <w:szCs w:val="24"/>
                <w:vertAlign w:val="baseline"/>
                <w:lang w:val="en-US" w:eastAsia="zh-CN"/>
              </w:rPr>
              <w:t>1</w:t>
            </w:r>
          </w:p>
        </w:tc>
        <w:tc>
          <w:tcPr>
            <w:tcW w:w="236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r>
              <w:rPr>
                <w:rFonts w:hint="default" w:ascii="Times New Roman" w:hAnsi="Times New Roman" w:eastAsia="仿宋_GB2312" w:cs="Times New Roman"/>
                <w:color w:val="auto"/>
                <w:sz w:val="24"/>
                <w:szCs w:val="24"/>
                <w:vertAlign w:val="baseline"/>
                <w:lang w:eastAsia="zh-CN"/>
              </w:rPr>
              <w:t>担任慈善信托受托人的信托公司金融许可证</w:t>
            </w:r>
          </w:p>
        </w:tc>
        <w:tc>
          <w:tcPr>
            <w:tcW w:w="696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480" w:firstLineChars="200"/>
              <w:jc w:val="left"/>
              <w:textAlignment w:val="auto"/>
              <w:outlineLvl w:val="9"/>
              <w:rPr>
                <w:rFonts w:hint="default" w:ascii="Times New Roman" w:hAnsi="Times New Roman" w:cs="Times New Roman"/>
                <w:color w:val="auto"/>
                <w:sz w:val="24"/>
                <w:szCs w:val="24"/>
                <w:vertAlign w:val="baseline"/>
                <w:lang w:eastAsia="zh-CN"/>
              </w:rPr>
            </w:pPr>
            <w:r>
              <w:rPr>
                <w:rFonts w:hint="default" w:ascii="Times New Roman" w:hAnsi="Times New Roman" w:eastAsia="仿宋_GB2312" w:cs="Times New Roman"/>
                <w:color w:val="auto"/>
                <w:sz w:val="24"/>
                <w:szCs w:val="24"/>
                <w:vertAlign w:val="baseline"/>
                <w:lang w:eastAsia="zh-CN"/>
              </w:rPr>
              <w:t>《慈善法》（中华人民共和国主席令第43号）第四十五条“……。受托人应当在慈善信托文件签订之日起七日内，将</w:t>
            </w:r>
            <w:r>
              <w:rPr>
                <w:rFonts w:hint="default" w:ascii="Times New Roman" w:hAnsi="Times New Roman" w:eastAsia="仿宋_GB2312" w:cs="Times New Roman"/>
                <w:b/>
                <w:bCs/>
                <w:color w:val="auto"/>
                <w:sz w:val="24"/>
                <w:szCs w:val="24"/>
                <w:vertAlign w:val="baseline"/>
                <w:lang w:eastAsia="zh-CN"/>
              </w:rPr>
              <w:t>相关文件</w:t>
            </w:r>
            <w:r>
              <w:rPr>
                <w:rFonts w:hint="default" w:ascii="Times New Roman" w:hAnsi="Times New Roman" w:eastAsia="仿宋_GB2312" w:cs="Times New Roman"/>
                <w:color w:val="auto"/>
                <w:sz w:val="24"/>
                <w:szCs w:val="24"/>
                <w:vertAlign w:val="baseline"/>
                <w:lang w:eastAsia="zh-CN"/>
              </w:rPr>
              <w:t>向受托人所在地县级以上人民政府民政部门备案”；第四十七条“……。变更后的受托人应当自变更之日起七日内，将变更情况报原备案的民政部门重新备案”</w:t>
            </w:r>
            <w:r>
              <w:rPr>
                <w:rFonts w:hint="default" w:ascii="Times New Roman" w:hAnsi="Times New Roman" w:cs="Times New Roman"/>
                <w:color w:val="auto"/>
                <w:sz w:val="24"/>
                <w:szCs w:val="24"/>
                <w:vertAlign w:val="baseline"/>
                <w:lang w:eastAsia="zh-CN"/>
              </w:rPr>
              <w:t>。</w:t>
            </w:r>
          </w:p>
          <w:p>
            <w:pPr>
              <w:pStyle w:val="2"/>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480" w:firstLineChars="200"/>
              <w:textAlignment w:val="auto"/>
              <w:rPr>
                <w:rFonts w:hint="default" w:ascii="Times New Roman" w:hAnsi="Times New Roman" w:eastAsia="仿宋_GB2312" w:cs="Times New Roman"/>
                <w:color w:val="auto"/>
                <w:kern w:val="2"/>
                <w:sz w:val="24"/>
                <w:szCs w:val="24"/>
                <w:vertAlign w:val="baseline"/>
                <w:lang w:val="en-US" w:eastAsia="zh-CN" w:bidi="ar-SA"/>
              </w:rPr>
            </w:pPr>
            <w:r>
              <w:rPr>
                <w:rFonts w:hint="eastAsia" w:ascii="Times New Roman" w:hAnsi="Times New Roman" w:eastAsia="仿宋_GB2312" w:cs="Times New Roman"/>
                <w:color w:val="auto"/>
                <w:kern w:val="2"/>
                <w:sz w:val="24"/>
                <w:szCs w:val="24"/>
                <w:vertAlign w:val="baseline"/>
                <w:lang w:val="en-US" w:eastAsia="zh-CN" w:bidi="ar-SA"/>
              </w:rPr>
              <w:t>《</w:t>
            </w:r>
            <w:r>
              <w:rPr>
                <w:rFonts w:hint="default" w:ascii="Times New Roman" w:hAnsi="Times New Roman" w:eastAsia="仿宋_GB2312" w:cs="Times New Roman"/>
                <w:color w:val="auto"/>
                <w:kern w:val="2"/>
                <w:sz w:val="24"/>
                <w:szCs w:val="24"/>
                <w:vertAlign w:val="baseline"/>
                <w:lang w:val="en-US" w:eastAsia="zh-CN" w:bidi="ar-SA"/>
              </w:rPr>
              <w:t>慈善信托管理办法</w:t>
            </w:r>
            <w:r>
              <w:rPr>
                <w:rFonts w:hint="eastAsia" w:ascii="Times New Roman" w:hAnsi="Times New Roman" w:eastAsia="仿宋_GB2312" w:cs="Times New Roman"/>
                <w:color w:val="auto"/>
                <w:kern w:val="2"/>
                <w:sz w:val="24"/>
                <w:szCs w:val="24"/>
                <w:vertAlign w:val="baseline"/>
                <w:lang w:val="en-US" w:eastAsia="zh-CN" w:bidi="ar-SA"/>
              </w:rPr>
              <w:t>》（银监发〔2017〕37号）第十八条第一款第（三）项“慈善信托的受托人向民政部门申请备案时，应当提交以下书面材料：（三）担任受托人的信托公司的金融许可证或慈善组织准予登记或予以认定的证明材料（复印件）”；第二十条第二款第（四）项“申请重新备案时，应当提交以下书面材料：（四）作为变更后受托人的信托公司的金融许可证或慈善组织准予登记或予以认定的证明材料（复印件）”。</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480" w:firstLineChars="200"/>
              <w:jc w:val="left"/>
              <w:textAlignment w:val="auto"/>
              <w:outlineLvl w:val="9"/>
              <w:rPr>
                <w:rFonts w:hint="default" w:ascii="Times New Roman" w:hAnsi="Times New Roman" w:cs="Times New Roman"/>
                <w:color w:val="auto"/>
                <w:sz w:val="24"/>
                <w:szCs w:val="24"/>
                <w:vertAlign w:val="baseline"/>
                <w:lang w:eastAsia="zh-CN"/>
              </w:rPr>
            </w:pPr>
            <w:r>
              <w:rPr>
                <w:rFonts w:hint="default" w:ascii="Times New Roman" w:hAnsi="Times New Roman" w:cs="Times New Roman"/>
                <w:color w:val="auto"/>
                <w:sz w:val="24"/>
                <w:szCs w:val="24"/>
                <w:vertAlign w:val="baseline"/>
                <w:lang w:eastAsia="zh-CN"/>
              </w:rPr>
              <w:t>《广东省民政厅 中国银行保险监督管理委员会广东监管局关于慈善信托管理工作的实施细则》（粤民规字〔2019〕2号）第二十三条第一款第（三）项“慈善信托的受托人向民政部门申请备案时，应当提交以下书面材料：（三）担任受托人的信托公司的金融许可证或慈善组织准予登记或予以认定的证明材料（复印件）”；第二十五条第三款第（四）项“申请重新备案时，应当提交以下书面材料：（四）变更后担任受托人的信托公司的金融许可证或慈善组织准予登记或予以认定的证明材料（复印件）”。</w:t>
            </w:r>
          </w:p>
        </w:tc>
        <w:tc>
          <w:tcPr>
            <w:tcW w:w="76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r>
              <w:rPr>
                <w:rFonts w:hint="default" w:ascii="Times New Roman" w:hAnsi="Times New Roman" w:eastAsia="仿宋_GB2312" w:cs="Times New Roman"/>
                <w:color w:val="auto"/>
                <w:sz w:val="24"/>
                <w:szCs w:val="24"/>
                <w:vertAlign w:val="baseline"/>
                <w:lang w:eastAsia="zh-CN"/>
              </w:rPr>
              <w:t>法律</w:t>
            </w:r>
          </w:p>
        </w:tc>
        <w:tc>
          <w:tcPr>
            <w:tcW w:w="95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r>
              <w:rPr>
                <w:rFonts w:hint="eastAsia" w:ascii="Times New Roman" w:hAnsi="Times New Roman" w:cs="Times New Roman"/>
                <w:color w:val="auto"/>
                <w:sz w:val="24"/>
                <w:szCs w:val="24"/>
                <w:vertAlign w:val="baseline"/>
                <w:lang w:eastAsia="zh-CN"/>
              </w:rPr>
              <w:t>连州市民政局</w:t>
            </w:r>
          </w:p>
        </w:tc>
        <w:tc>
          <w:tcPr>
            <w:tcW w:w="1056"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r>
              <w:rPr>
                <w:rFonts w:hint="default" w:ascii="Times New Roman" w:hAnsi="Times New Roman" w:eastAsia="仿宋_GB2312" w:cs="Times New Roman"/>
                <w:color w:val="auto"/>
                <w:sz w:val="24"/>
                <w:szCs w:val="24"/>
                <w:vertAlign w:val="baseline"/>
                <w:lang w:eastAsia="zh-CN"/>
              </w:rPr>
              <w:t>办理慈善信托设立（变更）备案</w:t>
            </w:r>
          </w:p>
        </w:tc>
        <w:tc>
          <w:tcPr>
            <w:tcW w:w="128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val="en-US" w:eastAsia="zh-CN"/>
              </w:rPr>
            </w:pPr>
            <w:r>
              <w:rPr>
                <w:rFonts w:hint="default" w:ascii="Times New Roman" w:hAnsi="Times New Roman" w:eastAsia="仿宋_GB2312" w:cs="Times New Roman"/>
                <w:color w:val="auto"/>
                <w:sz w:val="24"/>
                <w:szCs w:val="24"/>
                <w:vertAlign w:val="baseline"/>
                <w:lang w:val="en-US" w:eastAsia="zh-CN"/>
              </w:rPr>
              <w:t>2021年</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val="en-US" w:eastAsia="zh-CN"/>
              </w:rPr>
            </w:pPr>
            <w:r>
              <w:rPr>
                <w:rFonts w:hint="eastAsia" w:ascii="Times New Roman" w:hAnsi="Times New Roman" w:cs="Times New Roman"/>
                <w:color w:val="auto"/>
                <w:sz w:val="24"/>
                <w:szCs w:val="24"/>
                <w:vertAlign w:val="baseline"/>
                <w:lang w:val="en-US" w:eastAsia="zh-CN"/>
              </w:rPr>
              <w:t>12</w:t>
            </w:r>
            <w:r>
              <w:rPr>
                <w:rFonts w:hint="default" w:ascii="Times New Roman" w:hAnsi="Times New Roman" w:eastAsia="仿宋_GB2312" w:cs="Times New Roman"/>
                <w:color w:val="auto"/>
                <w:sz w:val="24"/>
                <w:szCs w:val="24"/>
                <w:vertAlign w:val="baseline"/>
                <w:lang w:val="en-US" w:eastAsia="zh-CN"/>
              </w:rPr>
              <w:t>月</w:t>
            </w:r>
            <w:r>
              <w:rPr>
                <w:rFonts w:hint="eastAsia" w:ascii="Times New Roman" w:hAnsi="Times New Roman" w:cs="Times New Roman"/>
                <w:color w:val="auto"/>
                <w:sz w:val="24"/>
                <w:szCs w:val="24"/>
                <w:vertAlign w:val="baseline"/>
                <w:lang w:val="en-US" w:eastAsia="zh-CN"/>
              </w:rPr>
              <w:t>8</w:t>
            </w:r>
            <w:r>
              <w:rPr>
                <w:rFonts w:hint="default" w:ascii="Times New Roman" w:hAnsi="Times New Roman" w:eastAsia="仿宋_GB2312" w:cs="Times New Roman"/>
                <w:color w:val="auto"/>
                <w:sz w:val="24"/>
                <w:szCs w:val="24"/>
                <w:vertAlign w:val="baseline"/>
                <w:lang w:val="en-US" w:eastAsia="zh-CN"/>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23"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val="en-US" w:eastAsia="zh-CN"/>
              </w:rPr>
            </w:pPr>
            <w:r>
              <w:rPr>
                <w:rFonts w:hint="default" w:ascii="Times New Roman" w:hAnsi="Times New Roman" w:eastAsia="仿宋_GB2312" w:cs="Times New Roman"/>
                <w:color w:val="auto"/>
                <w:sz w:val="24"/>
                <w:szCs w:val="24"/>
                <w:vertAlign w:val="baseline"/>
                <w:lang w:val="en-US" w:eastAsia="zh-CN"/>
              </w:rPr>
              <w:t>2</w:t>
            </w:r>
          </w:p>
        </w:tc>
        <w:tc>
          <w:tcPr>
            <w:tcW w:w="236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r>
              <w:rPr>
                <w:rFonts w:hint="default" w:ascii="Times New Roman" w:hAnsi="Times New Roman" w:eastAsia="仿宋_GB2312" w:cs="Times New Roman"/>
                <w:color w:val="auto"/>
                <w:sz w:val="24"/>
                <w:szCs w:val="24"/>
                <w:vertAlign w:val="baseline"/>
                <w:lang w:eastAsia="zh-CN"/>
              </w:rPr>
              <w:t>担任慈善信托受托人的慈善组织法人登记证书</w:t>
            </w:r>
          </w:p>
        </w:tc>
        <w:tc>
          <w:tcPr>
            <w:tcW w:w="696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p>
        </w:tc>
        <w:tc>
          <w:tcPr>
            <w:tcW w:w="76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p>
        </w:tc>
        <w:tc>
          <w:tcPr>
            <w:tcW w:w="95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p>
        </w:tc>
        <w:tc>
          <w:tcPr>
            <w:tcW w:w="1056"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p>
        </w:tc>
        <w:tc>
          <w:tcPr>
            <w:tcW w:w="128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center"/>
              <w:textAlignment w:val="auto"/>
              <w:outlineLvl w:val="9"/>
              <w:rPr>
                <w:rFonts w:hint="default" w:ascii="Times New Roman" w:hAnsi="Times New Roman" w:eastAsia="仿宋_GB2312" w:cs="Times New Roman"/>
                <w:color w:val="auto"/>
                <w:sz w:val="24"/>
                <w:szCs w:val="24"/>
                <w:vertAlign w:val="baseline"/>
                <w:lang w:eastAsia="zh-CN"/>
              </w:rPr>
            </w:pPr>
          </w:p>
        </w:tc>
      </w:tr>
    </w:tbl>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0" w:firstLineChars="0"/>
        <w:jc w:val="both"/>
        <w:textAlignment w:val="auto"/>
        <w:outlineLvl w:val="9"/>
        <w:rPr>
          <w:rFonts w:hint="default" w:ascii="Times New Roman" w:hAnsi="Times New Roman" w:cs="Times New Roman"/>
          <w:color w:val="auto"/>
          <w:szCs w:val="32"/>
        </w:rPr>
      </w:pPr>
      <w:r>
        <w:rPr>
          <w:rFonts w:hint="default" w:ascii="Times New Roman" w:hAnsi="Times New Roman" w:eastAsia="黑体" w:cs="Times New Roman"/>
          <w:color w:val="auto"/>
          <w:szCs w:val="32"/>
        </w:rPr>
        <w:t>公开方式：</w:t>
      </w:r>
      <w:bookmarkStart w:id="0" w:name="gkfs"/>
      <w:bookmarkEnd w:id="0"/>
      <w:r>
        <w:rPr>
          <w:rFonts w:hint="default" w:ascii="Times New Roman" w:hAnsi="Times New Roman" w:cs="Times New Roman"/>
          <w:color w:val="auto"/>
          <w:szCs w:val="32"/>
          <w:lang w:eastAsia="zh-CN"/>
        </w:rPr>
        <w:t>主动公开</w:t>
      </w:r>
    </w:p>
    <w:p>
      <w:pPr>
        <w:keepNext w:val="0"/>
        <w:keepLines w:val="0"/>
        <w:pageBreakBefore w:val="0"/>
        <w:widowControl w:val="0"/>
        <w:kinsoku/>
        <w:wordWrap/>
        <w:overflowPunct/>
        <w:topLinePunct w:val="0"/>
        <w:autoSpaceDE/>
        <w:autoSpaceDN/>
        <w:bidi w:val="0"/>
        <w:adjustRightInd/>
        <w:snapToGrid/>
        <w:spacing w:line="480" w:lineRule="exact"/>
        <w:ind w:right="0" w:rightChars="0"/>
        <w:jc w:val="both"/>
        <w:textAlignment w:val="auto"/>
        <w:outlineLvl w:val="9"/>
        <w:rPr>
          <w:rFonts w:hint="default" w:ascii="Times New Roman" w:hAnsi="Times New Roman" w:cs="Times New Roman"/>
          <w:color w:val="auto"/>
          <w:sz w:val="28"/>
          <w:szCs w:val="28"/>
          <w:lang w:val="en-US" w:eastAsia="zh-CN"/>
        </w:rPr>
      </w:pPr>
      <w:bookmarkStart w:id="1" w:name="_GoBack"/>
      <w:bookmarkEnd w:id="1"/>
    </w:p>
    <w:p/>
    <w:sectPr>
      <w:footerReference r:id="rId3" w:type="default"/>
      <w:pgSz w:w="16838" w:h="11906" w:orient="landscape"/>
      <w:pgMar w:top="1134" w:right="1984" w:bottom="907" w:left="1871" w:header="851" w:footer="1020" w:gutter="0"/>
      <w:pgBorders>
        <w:top w:val="none" w:sz="0" w:space="0"/>
        <w:left w:val="none" w:sz="0" w:space="0"/>
        <w:bottom w:val="none" w:sz="0" w:space="0"/>
        <w:right w:val="none" w:sz="0" w:space="0"/>
      </w:pgBorders>
      <w:pgNumType w:fmt="numberInDash"/>
      <w:cols w:space="720" w:num="1"/>
      <w:rtlGutter w:val="0"/>
      <w:docGrid w:type="lines" w:linePitch="44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snapToGrid w:val="0"/>
                            <w:rPr>
                              <w:rFonts w:hint="eastAsia" w:eastAsia="仿宋_GB2312"/>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- 2 -</w:t>
                          </w:r>
                          <w:r>
                            <w:rPr>
                              <w:rFonts w:hint="default" w:ascii="Times New Roman" w:hAnsi="Times New Roman" w:cs="Times New Roman"/>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o&#10;aYJL0wAAAAUBAAAPAAAAAAAAAAEAIAAAACIAAABkcnMvZG93bnJldi54bWxQSwECFAAUAAAACACH&#10;TuJA+jUQibcBAABVAwAADgAAAAAAAAABACAAAAAiAQAAZHJzL2Uyb0RvYy54bWxQSwUGAAAAAAYA&#10;BgBZAQAASwUAAAAA&#10;">
              <v:fill on="f" focussize="0,0"/>
              <v:stroke on="f" weight="1.25pt"/>
              <v:imagedata o:title=""/>
              <o:lock v:ext="edit" aspectratio="f"/>
              <v:textbox inset="0mm,0mm,0mm,0mm" style="mso-fit-shape-to-text:t;">
                <w:txbxContent>
                  <w:p>
                    <w:pPr>
                      <w:snapToGrid w:val="0"/>
                      <w:rPr>
                        <w:rFonts w:hint="eastAsia" w:eastAsia="仿宋_GB2312"/>
                        <w:sz w:val="18"/>
                        <w:lang w:eastAsia="zh-CN"/>
                      </w:rPr>
                    </w:pP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- 2 -</w:t>
                    </w:r>
                    <w:r>
                      <w:rPr>
                        <w:rFonts w:hint="default" w:ascii="Times New Roman" w:hAnsi="Times New Roman" w:cs="Times New Roman"/>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872156"/>
    <w:rsid w:val="30872156"/>
    <w:rsid w:val="398A3BB5"/>
    <w:rsid w:val="536B62FC"/>
    <w:rsid w:val="6DEE25B2"/>
    <w:rsid w:val="7217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2"/>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Plain Text"/>
    <w:basedOn w:val="1"/>
    <w:unhideWhenUsed/>
    <w:qFormat/>
    <w:uiPriority w:val="99"/>
    <w:rPr>
      <w:rFonts w:ascii="宋体" w:hAnsi="Courier New"/>
      <w:kern w:val="0"/>
      <w:sz w:val="20"/>
      <w:szCs w:val="21"/>
    </w:rPr>
  </w:style>
  <w:style w:type="paragraph" w:styleId="3">
    <w:name w:val="footer"/>
    <w:basedOn w:val="1"/>
    <w:unhideWhenUsed/>
    <w:qFormat/>
    <w:uiPriority w:val="0"/>
    <w:pPr>
      <w:tabs>
        <w:tab w:val="center" w:pos="4153"/>
        <w:tab w:val="right" w:pos="8306"/>
      </w:tabs>
      <w:snapToGrid w:val="0"/>
      <w:jc w:val="left"/>
    </w:pPr>
    <w:rPr>
      <w:rFonts w:eastAsia="宋体"/>
      <w:kern w:val="0"/>
      <w:sz w:val="18"/>
      <w:szCs w:val="18"/>
    </w:rPr>
  </w:style>
  <w:style w:type="table" w:styleId="5">
    <w:name w:val="Table Grid"/>
    <w:basedOn w:val="4"/>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连州市民政局社会事务股</Company>
  <Pages>1</Pages>
  <Words>0</Words>
  <Characters>0</Characters>
  <Lines>0</Lines>
  <Paragraphs>0</Paragraphs>
  <TotalTime>2</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2021-12-31T03:09:00Z</dcterms:created>
  <dc:creator>孔斌</dc:creator>
  <cp:lastModifiedBy>孔斌</cp:lastModifiedBy>
  <cp:lastPrinted>2022-01-07T08:06:58Z</cp:lastPrinted>
  <dcterms:modified xsi:type="dcterms:W3CDTF">2022-01-07T08:07:49Z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