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color w:val="000000" w:themeColor="text1"/>
          <w:sz w:val="24"/>
          <w:szCs w:val="24"/>
          <w:lang w:val="en-US"/>
        </w:rPr>
      </w:pPr>
    </w:p>
    <w:p>
      <w:pPr>
        <w:rPr>
          <w:rFonts w:hint="eastAsia" w:ascii="Times New Roman" w:hAnsi="Times New Roman"/>
          <w:color w:val="000000" w:themeColor="text1"/>
          <w:sz w:val="24"/>
          <w:szCs w:val="24"/>
          <w:lang w:val="en-US"/>
        </w:rPr>
      </w:pPr>
    </w:p>
    <w:p>
      <w:pPr>
        <w:rPr>
          <w:rFonts w:hint="eastAsia" w:ascii="Times New Roman" w:hAnsi="Times New Roman"/>
          <w:color w:val="000000" w:themeColor="text1"/>
          <w:sz w:val="24"/>
          <w:szCs w:val="24"/>
          <w:lang w:val="en-US"/>
        </w:rPr>
      </w:pPr>
      <w:r>
        <w:rPr>
          <w:rFonts w:hint="eastAsia" w:ascii="Times New Roman" w:hAnsi="Times New Roman"/>
          <w:color w:val="000000" w:themeColor="text1"/>
          <w:sz w:val="24"/>
          <w:szCs w:val="24"/>
          <w:lang w:val="en-US"/>
        </w:rPr>
        <w:t xml:space="preserve">粤府土审（19）〔2022〕9 号 </w:t>
      </w:r>
    </w:p>
    <w:p>
      <w:pPr>
        <w:rPr>
          <w:rFonts w:hint="eastAsia" w:ascii="Times New Roman" w:hAnsi="Times New Roman"/>
          <w:color w:val="000000" w:themeColor="text1"/>
          <w:sz w:val="24"/>
          <w:szCs w:val="24"/>
          <w:lang w:val="en-US"/>
        </w:rPr>
      </w:pPr>
    </w:p>
    <w:p>
      <w:pPr>
        <w:rPr>
          <w:rFonts w:hint="eastAsia" w:ascii="Times New Roman" w:hAnsi="Times New Roman"/>
          <w:color w:val="000000" w:themeColor="text1"/>
          <w:sz w:val="24"/>
          <w:szCs w:val="24"/>
          <w:lang w:val="en-US"/>
        </w:rPr>
      </w:pPr>
    </w:p>
    <w:p>
      <w:pPr>
        <w:rPr>
          <w:rFonts w:hint="eastAsia" w:ascii="Times New Roman" w:hAnsi="Times New Roman"/>
          <w:color w:val="000000" w:themeColor="text1"/>
          <w:sz w:val="24"/>
          <w:szCs w:val="24"/>
          <w:lang w:val="en-US"/>
        </w:rPr>
      </w:pPr>
      <w:r>
        <w:rPr>
          <w:rFonts w:hint="eastAsia" w:ascii="Times New Roman" w:hAnsi="Times New Roman"/>
          <w:color w:val="000000" w:themeColor="text1"/>
          <w:sz w:val="24"/>
          <w:szCs w:val="24"/>
          <w:lang w:val="en-US"/>
        </w:rPr>
        <w:t xml:space="preserve">广东省人民政府关于连州市2020年度第三十一批次城镇建设用地的批复 </w:t>
      </w:r>
    </w:p>
    <w:p>
      <w:pPr>
        <w:rPr>
          <w:rFonts w:hint="eastAsia" w:ascii="Times New Roman" w:hAnsi="Times New Roman"/>
          <w:color w:val="000000" w:themeColor="text1"/>
          <w:sz w:val="24"/>
          <w:szCs w:val="24"/>
          <w:lang w:val="en-US"/>
        </w:rPr>
      </w:pPr>
      <w:r>
        <w:rPr>
          <w:rFonts w:hint="eastAsia" w:ascii="Times New Roman" w:hAnsi="Times New Roman"/>
          <w:color w:val="000000" w:themeColor="text1"/>
          <w:sz w:val="24"/>
          <w:szCs w:val="24"/>
          <w:lang w:val="en-US"/>
        </w:rPr>
        <w:t xml:space="preserve">清远市人民政府：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color w:val="000000" w:themeColor="text1"/>
          <w:sz w:val="24"/>
          <w:szCs w:val="24"/>
          <w:lang w:val="en-US"/>
        </w:rPr>
      </w:pPr>
      <w:r>
        <w:rPr>
          <w:rFonts w:hint="eastAsia" w:ascii="Times New Roman" w:hAnsi="Times New Roman"/>
          <w:color w:val="000000" w:themeColor="text1"/>
          <w:sz w:val="24"/>
          <w:szCs w:val="24"/>
          <w:lang w:val="en-US"/>
        </w:rPr>
        <w:t xml:space="preserve">《关于审批连州市 2020 年度第三十一批次城镇建设用地的请示》（清自然资管制报〔2022〕12 号）及相关材料已通过审核。 根据《中华人民共和国土地管理法》第四十四、四十五条的有关 规定，批复如下：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color w:val="000000" w:themeColor="text1"/>
          <w:sz w:val="24"/>
          <w:szCs w:val="24"/>
          <w:lang w:val="en-US"/>
        </w:rPr>
      </w:pPr>
      <w:r>
        <w:rPr>
          <w:rFonts w:hint="eastAsia" w:ascii="Times New Roman" w:hAnsi="Times New Roman"/>
          <w:color w:val="000000" w:themeColor="text1"/>
          <w:sz w:val="24"/>
          <w:szCs w:val="24"/>
          <w:lang w:val="en-US"/>
        </w:rPr>
        <w:t xml:space="preserve">一、同意上报的农用地转用方案和征收土地方案。同意你市 将连州市九陂镇经济联合总社、四联村蓝屋经济合作社、白石村 亚流冲经济合作社属下的集体农用地 6.8055 公顷（林地6.6363 公顷、其他农用地0.1692 公顷）转为建设用地，以上合计 6.8055 公顷集体土地一并办理征收为国有土地手续。另同意你市将连州 市人民政府属下的国有农用地0.3537 公顷（林地 0.3537 公顷） 转为建设用地，上述土地（合计7.1592 公顷）经完善相关手续后依照规划安排作为连州市城镇建设用地。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color w:val="000000" w:themeColor="text1"/>
          <w:sz w:val="24"/>
          <w:szCs w:val="24"/>
          <w:lang w:val="en-US"/>
        </w:rPr>
      </w:pPr>
      <w:r>
        <w:rPr>
          <w:rFonts w:hint="eastAsia" w:ascii="Times New Roman" w:hAnsi="Times New Roman"/>
          <w:color w:val="000000" w:themeColor="text1"/>
          <w:sz w:val="24"/>
          <w:szCs w:val="24"/>
          <w:lang w:val="en-US"/>
        </w:rPr>
        <w:t>二、该批次用地在土地利用总体规划中安排为城乡建设用地，供地时土地用途应与土地利用总体规划中的规划安排相符； 同时，供地方式、供地规模、供地标准等应严格按照国家和省的 有关规定执行，切实做到节约集约用地。拟建项目应符合国家和 省的有关规定，并办理有关手续。</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color w:val="000000" w:themeColor="text1"/>
          <w:sz w:val="24"/>
          <w:szCs w:val="24"/>
          <w:lang w:val="en-US"/>
        </w:rPr>
      </w:pPr>
      <w:r>
        <w:rPr>
          <w:rFonts w:hint="eastAsia" w:ascii="Times New Roman" w:hAnsi="Times New Roman"/>
          <w:color w:val="000000" w:themeColor="text1"/>
          <w:sz w:val="24"/>
          <w:szCs w:val="24"/>
          <w:lang w:val="en-US"/>
        </w:rPr>
        <w:t xml:space="preserve">三、请你市人民政府督促连州市人民政府及时依法组织实施征地，切实保障被征地群众生活出路。连州市人民政府应依法发 布征地公告，限期办理征地补偿登记；连州市自然资源主管部门 应会同有关单位根据批准的征收土地方案拟订具体的征地补偿安 置方案并予以公告，并听取群众意见后报同级人民政府批准实施。征地补偿安置不落实的，不得强行使用被征土地。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color w:val="000000" w:themeColor="text1"/>
          <w:sz w:val="24"/>
          <w:szCs w:val="24"/>
          <w:lang w:val="en-US"/>
        </w:rPr>
      </w:pPr>
      <w:r>
        <w:rPr>
          <w:rFonts w:hint="eastAsia" w:ascii="Times New Roman" w:hAnsi="Times New Roman"/>
          <w:color w:val="000000" w:themeColor="text1"/>
          <w:sz w:val="24"/>
          <w:szCs w:val="24"/>
          <w:lang w:val="en-US"/>
        </w:rPr>
        <w:t xml:space="preserve">四、请你市人民政府督促清远市林业主管部门完善使用林地审核手续。未取得《使用林地审核同意书》的，不得进行土地平 整等前期基础设施建设工作，不得办理土地供应手续。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color w:val="000000" w:themeColor="text1"/>
          <w:sz w:val="24"/>
          <w:szCs w:val="24"/>
          <w:lang w:val="en-US"/>
        </w:rPr>
      </w:pPr>
      <w:r>
        <w:rPr>
          <w:rFonts w:hint="eastAsia" w:ascii="Times New Roman" w:hAnsi="Times New Roman"/>
          <w:color w:val="000000" w:themeColor="text1"/>
          <w:sz w:val="24"/>
          <w:szCs w:val="24"/>
          <w:lang w:val="en-US"/>
        </w:rPr>
        <w:t xml:space="preserve">五、使用土地涉及有关税费的收缴或调整，请按有关规定办理。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color w:val="000000" w:themeColor="text1"/>
          <w:sz w:val="24"/>
          <w:szCs w:val="24"/>
          <w:lang w:val="en-US"/>
        </w:rPr>
      </w:pPr>
      <w:r>
        <w:rPr>
          <w:rFonts w:hint="eastAsia" w:ascii="Times New Roman" w:hAnsi="Times New Roman"/>
          <w:color w:val="000000" w:themeColor="text1"/>
          <w:sz w:val="24"/>
          <w:szCs w:val="24"/>
          <w:lang w:val="en-US"/>
        </w:rPr>
        <w:t xml:space="preserve">六、征地批后实施情况连同经批准的征地补偿安置方案和具体项目供地情况须按规定报备。 </w:t>
      </w:r>
    </w:p>
    <w:p>
      <w:pPr>
        <w:rPr>
          <w:rFonts w:hint="eastAsia" w:ascii="Times New Roman" w:hAnsi="Times New Roman"/>
          <w:color w:val="000000" w:themeColor="text1"/>
          <w:sz w:val="24"/>
          <w:szCs w:val="24"/>
          <w:lang w:val="en-US"/>
        </w:rPr>
      </w:pPr>
      <w:bookmarkStart w:id="0" w:name="_GoBack"/>
      <w:bookmarkEnd w:id="0"/>
    </w:p>
    <w:p>
      <w:pPr>
        <w:rPr>
          <w:rFonts w:hint="eastAsia" w:ascii="Times New Roman" w:hAnsi="Times New Roman"/>
          <w:color w:val="000000" w:themeColor="text1"/>
          <w:sz w:val="24"/>
          <w:szCs w:val="24"/>
          <w:lang w:val="en-US"/>
        </w:rPr>
      </w:pPr>
    </w:p>
    <w:p>
      <w:pPr>
        <w:rPr>
          <w:rFonts w:hint="eastAsia" w:ascii="Times New Roman" w:hAnsi="Times New Roman"/>
          <w:color w:val="000000" w:themeColor="text1"/>
          <w:sz w:val="24"/>
          <w:szCs w:val="24"/>
          <w:lang w:val="en-US"/>
        </w:rPr>
      </w:pPr>
    </w:p>
    <w:p>
      <w:pPr>
        <w:rPr>
          <w:rFonts w:hint="eastAsia" w:ascii="Times New Roman" w:hAnsi="Times New Roman"/>
          <w:color w:val="000000" w:themeColor="text1"/>
          <w:sz w:val="24"/>
          <w:szCs w:val="24"/>
          <w:lang w:val="en-US"/>
        </w:rPr>
      </w:pPr>
      <w:r>
        <w:rPr>
          <w:rFonts w:hint="eastAsia" w:ascii="Times New Roman" w:hAnsi="Times New Roman"/>
          <w:color w:val="000000" w:themeColor="text1"/>
          <w:sz w:val="24"/>
          <w:szCs w:val="24"/>
          <w:lang w:val="en-US"/>
        </w:rPr>
        <w:t>广东省人民政府</w:t>
      </w:r>
    </w:p>
    <w:p>
      <w:pPr>
        <w:rPr>
          <w:rFonts w:ascii="Times New Roman" w:hAnsi="Times New Roman"/>
          <w:color w:val="000000" w:themeColor="text1"/>
          <w:sz w:val="24"/>
          <w:szCs w:val="24"/>
          <w:lang w:val="en-US"/>
        </w:rPr>
      </w:pPr>
      <w:r>
        <w:rPr>
          <w:rFonts w:hint="eastAsia" w:ascii="Times New Roman" w:hAnsi="Times New Roman"/>
          <w:color w:val="000000" w:themeColor="text1"/>
          <w:sz w:val="24"/>
          <w:szCs w:val="24"/>
          <w:lang w:val="en-US"/>
        </w:rPr>
        <w:t xml:space="preserve">2022 年 1 月 10 日 </w:t>
      </w:r>
    </w:p>
    <w:sectPr>
      <w:type w:val="continuous"/>
      <w:pgSz w:w="11915" w:h="1684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lgerian">
    <w:altName w:val="ESRI AMFM Electric"/>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ESRI AMFM Electric">
    <w:panose1 w:val="02000400000000000000"/>
    <w:charset w:val="00"/>
    <w:family w:val="auto"/>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2"/>
  </w:compat>
  <w:rsids>
    <w:rsidRoot w:val="00000000"/>
    <w:rsid w:val="7CDC15E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pacing w:after="0" w:line="240" w:lineRule="auto"/>
    </w:pPr>
    <w:rPr>
      <w:rFonts w:asciiTheme="minorHAnsi" w:hAnsiTheme="minorHAnsi" w:eastAsiaTheme="minorHAnsi" w:cstheme="minorBidi"/>
      <w:sz w:val="22"/>
      <w:szCs w:val="22"/>
      <w:lang w:val="en-US" w:eastAsia="en-US" w:bidi="ar-SA"/>
    </w:rPr>
  </w:style>
  <w:style w:type="character" w:default="1" w:styleId="6">
    <w:name w:val="Default Paragraph Font"/>
    <w:semiHidden/>
    <w:unhideWhenUsed/>
    <w:uiPriority w:val="1"/>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Body Text"/>
    <w:basedOn w:val="1"/>
    <w:qFormat/>
    <w:uiPriority w:val="1"/>
    <w:pPr>
      <w:spacing w:before="159"/>
      <w:ind w:left="511"/>
    </w:pPr>
    <w:rPr>
      <w:rFonts w:ascii="Algerian" w:hAnsi="Algerian" w:eastAsia="Algerian"/>
      <w:sz w:val="24"/>
      <w:szCs w:val="24"/>
    </w:rPr>
  </w:style>
  <w:style w:type="table" w:styleId="4">
    <w:name w:val="Table Grid"/>
    <w:basedOn w:val="5"/>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style>
  <w:style w:type="table" w:customStyle="1" w:styleId="5">
    <w:name w:val="Table Normal"/>
    <w:semiHidden/>
    <w:unhideWhenUsed/>
    <w:qFormat/>
    <w:uiPriority w:val="2"/>
    <w:tblPr>
      <w:tblLayout w:type="fixed"/>
      <w:tblCellMar>
        <w:top w:w="0" w:type="dxa"/>
        <w:left w:w="0" w:type="dxa"/>
        <w:bottom w:w="0" w:type="dxa"/>
        <w:right w:w="0" w:type="dxa"/>
      </w:tblCellMar>
    </w:tblPr>
  </w:style>
  <w:style w:type="paragraph" w:styleId="7">
    <w:name w:val="List Paragraph"/>
    <w:basedOn w:val="1"/>
    <w:qFormat/>
    <w:uiPriority w:val="1"/>
  </w:style>
  <w:style w:type="paragraph" w:customStyle="1" w:styleId="8">
    <w:name w:val="Table Paragraph"/>
    <w:basedOn w:val="1"/>
    <w:qFormat/>
    <w:uiPriority w:val="1"/>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TotalTime>1</TotalTime>
  <ScaleCrop>false</ScaleCrop>
  <LinksUpToDate>false</LinksUpToDate>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2022-04-13T08:49:00Z</dcterms:created>
  <dc:creator>ZYJ</dc:creator>
  <cp:lastModifiedBy>ZYJ</cp:lastModifiedBy>
  <dcterms:modified xsi:type="dcterms:W3CDTF">2022-04-13T09:12:29Z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